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A9" w:rsidRPr="004F42A3" w:rsidRDefault="00920AA9" w:rsidP="00920AA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Use of Sport’s</w:t>
      </w:r>
      <w:r>
        <w:rPr>
          <w:b/>
          <w:sz w:val="24"/>
          <w:szCs w:val="24"/>
          <w:u w:val="single"/>
        </w:rPr>
        <w:t xml:space="preserve"> Premium 2014-2015</w:t>
      </w:r>
    </w:p>
    <w:p w:rsidR="00920AA9" w:rsidRPr="004F42A3" w:rsidRDefault="00920AA9" w:rsidP="00920AA9">
      <w:pPr>
        <w:rPr>
          <w:sz w:val="24"/>
          <w:szCs w:val="24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3828"/>
        <w:gridCol w:w="1701"/>
        <w:gridCol w:w="3686"/>
        <w:gridCol w:w="1559"/>
      </w:tblGrid>
      <w:tr w:rsidR="00920AA9" w:rsidRPr="004F42A3" w:rsidTr="007F3086">
        <w:tc>
          <w:tcPr>
            <w:tcW w:w="3828" w:type="dxa"/>
          </w:tcPr>
          <w:p w:rsidR="00920AA9" w:rsidRPr="004F42A3" w:rsidRDefault="00920AA9" w:rsidP="007F3086">
            <w:pPr>
              <w:rPr>
                <w:b/>
                <w:sz w:val="24"/>
                <w:szCs w:val="24"/>
              </w:rPr>
            </w:pPr>
            <w:r w:rsidRPr="004F42A3">
              <w:rPr>
                <w:b/>
                <w:sz w:val="24"/>
                <w:szCs w:val="24"/>
              </w:rPr>
              <w:t>Key Objective and anticipated benefits.</w:t>
            </w:r>
          </w:p>
        </w:tc>
        <w:tc>
          <w:tcPr>
            <w:tcW w:w="1701" w:type="dxa"/>
          </w:tcPr>
          <w:p w:rsidR="00920AA9" w:rsidRPr="004F42A3" w:rsidRDefault="00920AA9" w:rsidP="007F3086">
            <w:pPr>
              <w:rPr>
                <w:b/>
                <w:sz w:val="24"/>
                <w:szCs w:val="24"/>
              </w:rPr>
            </w:pPr>
            <w:r w:rsidRPr="004F42A3">
              <w:rPr>
                <w:b/>
                <w:sz w:val="24"/>
                <w:szCs w:val="24"/>
              </w:rPr>
              <w:t xml:space="preserve">Specific year group/key </w:t>
            </w:r>
            <w:r w:rsidRPr="00D64EB6">
              <w:rPr>
                <w:b/>
                <w:sz w:val="24"/>
                <w:szCs w:val="24"/>
              </w:rPr>
              <w:t>personnel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F42A3">
              <w:rPr>
                <w:b/>
                <w:sz w:val="24"/>
                <w:szCs w:val="24"/>
              </w:rPr>
              <w:t>to be targeted.</w:t>
            </w:r>
          </w:p>
        </w:tc>
        <w:tc>
          <w:tcPr>
            <w:tcW w:w="3686" w:type="dxa"/>
          </w:tcPr>
          <w:p w:rsidR="00920AA9" w:rsidRPr="004F42A3" w:rsidRDefault="00920AA9" w:rsidP="007F3086">
            <w:pPr>
              <w:rPr>
                <w:b/>
                <w:sz w:val="24"/>
                <w:szCs w:val="24"/>
              </w:rPr>
            </w:pPr>
            <w:r w:rsidRPr="004F42A3">
              <w:rPr>
                <w:b/>
                <w:sz w:val="24"/>
                <w:szCs w:val="24"/>
              </w:rPr>
              <w:t>Proposed outside agencies/coaching companies involved.</w:t>
            </w:r>
          </w:p>
        </w:tc>
        <w:tc>
          <w:tcPr>
            <w:tcW w:w="1559" w:type="dxa"/>
          </w:tcPr>
          <w:p w:rsidR="00920AA9" w:rsidRPr="004F42A3" w:rsidRDefault="00920AA9" w:rsidP="007F3086">
            <w:pPr>
              <w:rPr>
                <w:sz w:val="24"/>
                <w:szCs w:val="24"/>
              </w:rPr>
            </w:pPr>
            <w:r w:rsidRPr="004F42A3">
              <w:rPr>
                <w:b/>
                <w:sz w:val="24"/>
                <w:szCs w:val="24"/>
              </w:rPr>
              <w:t>Costing (</w:t>
            </w:r>
            <w:r w:rsidRPr="004F42A3">
              <w:rPr>
                <w:sz w:val="24"/>
                <w:szCs w:val="24"/>
              </w:rPr>
              <w:t xml:space="preserve">to </w:t>
            </w:r>
          </w:p>
          <w:p w:rsidR="00920AA9" w:rsidRPr="004F42A3" w:rsidRDefault="00920AA9" w:rsidP="007F3086">
            <w:pPr>
              <w:rPr>
                <w:b/>
                <w:sz w:val="24"/>
                <w:szCs w:val="24"/>
              </w:rPr>
            </w:pPr>
            <w:proofErr w:type="gramStart"/>
            <w:r w:rsidRPr="004F42A3">
              <w:rPr>
                <w:sz w:val="24"/>
                <w:szCs w:val="24"/>
              </w:rPr>
              <w:t>nearest</w:t>
            </w:r>
            <w:proofErr w:type="gramEnd"/>
            <w:r w:rsidRPr="004F42A3">
              <w:rPr>
                <w:sz w:val="24"/>
                <w:szCs w:val="24"/>
              </w:rPr>
              <w:t xml:space="preserve"> £10.)</w:t>
            </w:r>
          </w:p>
        </w:tc>
      </w:tr>
      <w:tr w:rsidR="00920AA9" w:rsidRPr="004F42A3" w:rsidTr="007F3086">
        <w:tc>
          <w:tcPr>
            <w:tcW w:w="3828" w:type="dxa"/>
          </w:tcPr>
          <w:p w:rsidR="00920AA9" w:rsidRPr="004F42A3" w:rsidRDefault="00920AA9" w:rsidP="007F3086">
            <w:pPr>
              <w:rPr>
                <w:sz w:val="24"/>
                <w:szCs w:val="24"/>
              </w:rPr>
            </w:pPr>
            <w:r w:rsidRPr="004F42A3">
              <w:rPr>
                <w:b/>
                <w:sz w:val="24"/>
                <w:szCs w:val="24"/>
              </w:rPr>
              <w:t>1. Provide greater extra-curricular sporting opportunities for all pupils</w:t>
            </w:r>
            <w:r w:rsidRPr="004F42A3">
              <w:rPr>
                <w:sz w:val="24"/>
                <w:szCs w:val="24"/>
              </w:rPr>
              <w:t xml:space="preserve">. </w:t>
            </w:r>
          </w:p>
          <w:p w:rsidR="00920AA9" w:rsidRPr="004F42A3" w:rsidRDefault="00920AA9" w:rsidP="007F3086">
            <w:pPr>
              <w:rPr>
                <w:sz w:val="24"/>
                <w:szCs w:val="24"/>
              </w:rPr>
            </w:pPr>
          </w:p>
          <w:p w:rsidR="00920AA9" w:rsidRPr="004F42A3" w:rsidRDefault="00920AA9" w:rsidP="007F3086">
            <w:pPr>
              <w:rPr>
                <w:sz w:val="24"/>
                <w:szCs w:val="24"/>
              </w:rPr>
            </w:pPr>
            <w:r w:rsidRPr="004F42A3">
              <w:rPr>
                <w:sz w:val="24"/>
                <w:szCs w:val="24"/>
              </w:rPr>
              <w:t>A wider variety of coaches will be acquired to inspire our children to undertake before and after school sport; more children will be participate in competitive and non-competitive physical activity.</w:t>
            </w:r>
          </w:p>
          <w:p w:rsidR="00920AA9" w:rsidRPr="004F42A3" w:rsidRDefault="00920AA9" w:rsidP="007F3086">
            <w:pPr>
              <w:rPr>
                <w:sz w:val="24"/>
                <w:szCs w:val="24"/>
              </w:rPr>
            </w:pPr>
          </w:p>
          <w:p w:rsidR="00920AA9" w:rsidRPr="004F42A3" w:rsidRDefault="00920AA9" w:rsidP="007F308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0AA9" w:rsidRPr="004F42A3" w:rsidRDefault="00920AA9" w:rsidP="007F3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Pupils in a</w:t>
            </w:r>
            <w:r w:rsidRPr="004F42A3">
              <w:rPr>
                <w:sz w:val="24"/>
                <w:szCs w:val="24"/>
              </w:rPr>
              <w:t>ll year groups</w:t>
            </w:r>
          </w:p>
        </w:tc>
        <w:tc>
          <w:tcPr>
            <w:tcW w:w="3686" w:type="dxa"/>
          </w:tcPr>
          <w:p w:rsidR="00920AA9" w:rsidRPr="004F42A3" w:rsidRDefault="00920AA9" w:rsidP="007F3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Darius Knight</w:t>
            </w:r>
            <w:r>
              <w:rPr>
                <w:sz w:val="24"/>
                <w:szCs w:val="24"/>
              </w:rPr>
              <w:br/>
              <w:t xml:space="preserve">Ultimate Fitness ( J </w:t>
            </w:r>
            <w:proofErr w:type="spellStart"/>
            <w:r>
              <w:rPr>
                <w:sz w:val="24"/>
                <w:szCs w:val="24"/>
              </w:rPr>
              <w:t>Gillespe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br/>
            </w:r>
          </w:p>
          <w:p w:rsidR="00920AA9" w:rsidRPr="004F42A3" w:rsidRDefault="00920AA9" w:rsidP="007F308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0AA9" w:rsidRPr="004F42A3" w:rsidRDefault="00920AA9" w:rsidP="007F3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</w:tr>
      <w:tr w:rsidR="00920AA9" w:rsidRPr="004F42A3" w:rsidTr="007F3086">
        <w:tc>
          <w:tcPr>
            <w:tcW w:w="3828" w:type="dxa"/>
          </w:tcPr>
          <w:p w:rsidR="00920AA9" w:rsidRPr="004F42A3" w:rsidRDefault="00920AA9" w:rsidP="007F3086">
            <w:pPr>
              <w:rPr>
                <w:b/>
                <w:sz w:val="24"/>
                <w:szCs w:val="24"/>
              </w:rPr>
            </w:pPr>
            <w:r w:rsidRPr="004F42A3">
              <w:rPr>
                <w:b/>
                <w:sz w:val="24"/>
                <w:szCs w:val="24"/>
              </w:rPr>
              <w:t>2. Improve the teaching of Physical Education and the learning experience for all pupils.</w:t>
            </w:r>
          </w:p>
          <w:p w:rsidR="00920AA9" w:rsidRPr="004F42A3" w:rsidRDefault="00920AA9" w:rsidP="007F3086">
            <w:pPr>
              <w:rPr>
                <w:b/>
                <w:sz w:val="24"/>
                <w:szCs w:val="24"/>
              </w:rPr>
            </w:pPr>
          </w:p>
          <w:p w:rsidR="00920AA9" w:rsidRDefault="00920AA9" w:rsidP="007F3086">
            <w:pPr>
              <w:rPr>
                <w:sz w:val="24"/>
                <w:szCs w:val="24"/>
              </w:rPr>
            </w:pPr>
            <w:r w:rsidRPr="004F42A3">
              <w:rPr>
                <w:sz w:val="24"/>
                <w:szCs w:val="24"/>
              </w:rPr>
              <w:t>Teaching staff will be given further opportunities to undertake P.E training and coaching qualifications.  The aim</w:t>
            </w:r>
            <w:r>
              <w:rPr>
                <w:sz w:val="24"/>
                <w:szCs w:val="24"/>
              </w:rPr>
              <w:t xml:space="preserve"> is to </w:t>
            </w:r>
            <w:r w:rsidRPr="004F42A3">
              <w:rPr>
                <w:sz w:val="24"/>
                <w:szCs w:val="24"/>
              </w:rPr>
              <w:t>improve the quality of teaching in order to make lessons more inclusive and to increase pupil progress.</w:t>
            </w:r>
          </w:p>
          <w:p w:rsidR="00920AA9" w:rsidRDefault="00920AA9" w:rsidP="007F3086">
            <w:pPr>
              <w:rPr>
                <w:sz w:val="24"/>
                <w:szCs w:val="24"/>
              </w:rPr>
            </w:pPr>
          </w:p>
          <w:p w:rsidR="00920AA9" w:rsidRDefault="00920AA9" w:rsidP="007F3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Specialist coaches will also be utilised to work alongside our own staff to aid staff development.  </w:t>
            </w:r>
          </w:p>
          <w:p w:rsidR="00920AA9" w:rsidRPr="004F42A3" w:rsidRDefault="00920AA9" w:rsidP="007F308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0AA9" w:rsidRDefault="00920AA9" w:rsidP="007F308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Teaching staff</w:t>
            </w:r>
          </w:p>
          <w:p w:rsidR="00920AA9" w:rsidRDefault="00920AA9" w:rsidP="007F3086">
            <w:pPr>
              <w:rPr>
                <w:i/>
                <w:sz w:val="24"/>
                <w:szCs w:val="24"/>
              </w:rPr>
            </w:pPr>
          </w:p>
          <w:p w:rsidR="00920AA9" w:rsidRDefault="00920AA9" w:rsidP="007F308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Teaching Assistants</w:t>
            </w:r>
          </w:p>
          <w:p w:rsidR="00920AA9" w:rsidRDefault="00920AA9" w:rsidP="007F3086">
            <w:pPr>
              <w:rPr>
                <w:i/>
                <w:sz w:val="24"/>
                <w:szCs w:val="24"/>
              </w:rPr>
            </w:pPr>
          </w:p>
          <w:p w:rsidR="00920AA9" w:rsidRPr="004F42A3" w:rsidRDefault="00920AA9" w:rsidP="007F308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Lunch-time supervisors</w:t>
            </w:r>
          </w:p>
        </w:tc>
        <w:tc>
          <w:tcPr>
            <w:tcW w:w="3686" w:type="dxa"/>
          </w:tcPr>
          <w:p w:rsidR="00920AA9" w:rsidRPr="004F42A3" w:rsidRDefault="00920AA9" w:rsidP="007F308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0AA9" w:rsidRPr="004F42A3" w:rsidRDefault="00920AA9" w:rsidP="007F3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920AA9" w:rsidRPr="004F42A3" w:rsidTr="007F3086">
        <w:tc>
          <w:tcPr>
            <w:tcW w:w="3828" w:type="dxa"/>
          </w:tcPr>
          <w:p w:rsidR="00920AA9" w:rsidRPr="004F42A3" w:rsidRDefault="00920AA9" w:rsidP="007F3086">
            <w:pPr>
              <w:rPr>
                <w:b/>
                <w:sz w:val="24"/>
                <w:szCs w:val="24"/>
              </w:rPr>
            </w:pPr>
            <w:r w:rsidRPr="004F42A3">
              <w:rPr>
                <w:b/>
                <w:sz w:val="24"/>
                <w:szCs w:val="24"/>
              </w:rPr>
              <w:t>3. Improve the P.E equipment that the pupils have access to in order to improve specific skills in a range of sporting areas.</w:t>
            </w:r>
          </w:p>
          <w:p w:rsidR="00920AA9" w:rsidRPr="004F42A3" w:rsidRDefault="00920AA9" w:rsidP="007F3086">
            <w:pPr>
              <w:rPr>
                <w:sz w:val="24"/>
                <w:szCs w:val="24"/>
              </w:rPr>
            </w:pPr>
          </w:p>
          <w:p w:rsidR="00920AA9" w:rsidRDefault="00920AA9" w:rsidP="007F3086">
            <w:pPr>
              <w:rPr>
                <w:sz w:val="24"/>
                <w:szCs w:val="24"/>
              </w:rPr>
            </w:pPr>
          </w:p>
          <w:p w:rsidR="00920AA9" w:rsidRDefault="00920AA9" w:rsidP="007F3086">
            <w:pPr>
              <w:rPr>
                <w:sz w:val="24"/>
                <w:szCs w:val="24"/>
              </w:rPr>
            </w:pPr>
          </w:p>
          <w:p w:rsidR="00920AA9" w:rsidRPr="004F42A3" w:rsidRDefault="00920AA9" w:rsidP="007F308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0AA9" w:rsidRDefault="00920AA9" w:rsidP="007F308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Pupils in all year groups</w:t>
            </w:r>
          </w:p>
          <w:p w:rsidR="00920AA9" w:rsidRDefault="00920AA9" w:rsidP="007F3086">
            <w:pPr>
              <w:rPr>
                <w:i/>
                <w:sz w:val="24"/>
                <w:szCs w:val="24"/>
              </w:rPr>
            </w:pPr>
          </w:p>
          <w:p w:rsidR="00920AA9" w:rsidRPr="004F42A3" w:rsidRDefault="00920AA9" w:rsidP="007F308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All teaching staff</w:t>
            </w:r>
          </w:p>
        </w:tc>
        <w:tc>
          <w:tcPr>
            <w:tcW w:w="3686" w:type="dxa"/>
          </w:tcPr>
          <w:p w:rsidR="00920AA9" w:rsidRPr="004F42A3" w:rsidRDefault="00920AA9" w:rsidP="007F308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0AA9" w:rsidRPr="004F42A3" w:rsidRDefault="00920AA9" w:rsidP="007F3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  <w:bookmarkStart w:id="0" w:name="_GoBack"/>
            <w:bookmarkEnd w:id="0"/>
          </w:p>
        </w:tc>
      </w:tr>
      <w:tr w:rsidR="00920AA9" w:rsidRPr="004F42A3" w:rsidTr="007F3086">
        <w:tc>
          <w:tcPr>
            <w:tcW w:w="3828" w:type="dxa"/>
          </w:tcPr>
          <w:p w:rsidR="00920AA9" w:rsidRPr="004F42A3" w:rsidRDefault="00920AA9" w:rsidP="007F3086">
            <w:pPr>
              <w:rPr>
                <w:b/>
                <w:sz w:val="24"/>
                <w:szCs w:val="24"/>
              </w:rPr>
            </w:pPr>
            <w:r w:rsidRPr="004F42A3">
              <w:rPr>
                <w:b/>
                <w:sz w:val="24"/>
                <w:szCs w:val="24"/>
              </w:rPr>
              <w:t>4. Enhance the playtime experience by making playtimes and lunchtimes more active.</w:t>
            </w:r>
          </w:p>
          <w:p w:rsidR="00920AA9" w:rsidRPr="004F42A3" w:rsidRDefault="00920AA9" w:rsidP="007F3086">
            <w:pPr>
              <w:rPr>
                <w:b/>
                <w:sz w:val="24"/>
                <w:szCs w:val="24"/>
              </w:rPr>
            </w:pPr>
          </w:p>
          <w:p w:rsidR="00920AA9" w:rsidRPr="004F42A3" w:rsidRDefault="00920AA9" w:rsidP="007F3086">
            <w:pPr>
              <w:rPr>
                <w:sz w:val="24"/>
                <w:szCs w:val="24"/>
              </w:rPr>
            </w:pPr>
            <w:r w:rsidRPr="004F42A3">
              <w:rPr>
                <w:sz w:val="24"/>
                <w:szCs w:val="24"/>
              </w:rPr>
              <w:lastRenderedPageBreak/>
              <w:t>New, exciting equip</w:t>
            </w:r>
            <w:r>
              <w:rPr>
                <w:sz w:val="24"/>
                <w:szCs w:val="24"/>
              </w:rPr>
              <w:t xml:space="preserve">ment has been bought and a new </w:t>
            </w:r>
            <w:r w:rsidRPr="004F42A3">
              <w:rPr>
                <w:sz w:val="24"/>
                <w:szCs w:val="24"/>
              </w:rPr>
              <w:t>‘Play-Box’ scheme has been launched to encourage healthy, active play.</w:t>
            </w:r>
          </w:p>
          <w:p w:rsidR="00920AA9" w:rsidRPr="004F42A3" w:rsidRDefault="00920AA9" w:rsidP="007F308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0AA9" w:rsidRDefault="00920AA9" w:rsidP="007F308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Pupils in all year groups</w:t>
            </w:r>
          </w:p>
          <w:p w:rsidR="00920AA9" w:rsidRDefault="00920AA9" w:rsidP="007F3086">
            <w:pPr>
              <w:rPr>
                <w:i/>
                <w:sz w:val="24"/>
                <w:szCs w:val="24"/>
              </w:rPr>
            </w:pPr>
          </w:p>
          <w:p w:rsidR="00920AA9" w:rsidRDefault="00920AA9" w:rsidP="007F308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Lunch-time </w:t>
            </w:r>
            <w:r>
              <w:rPr>
                <w:i/>
                <w:sz w:val="24"/>
                <w:szCs w:val="24"/>
              </w:rPr>
              <w:lastRenderedPageBreak/>
              <w:t>supervisors</w:t>
            </w:r>
          </w:p>
          <w:p w:rsidR="00920AA9" w:rsidRDefault="00920AA9" w:rsidP="007F3086">
            <w:pPr>
              <w:rPr>
                <w:i/>
                <w:sz w:val="24"/>
                <w:szCs w:val="24"/>
              </w:rPr>
            </w:pPr>
          </w:p>
          <w:p w:rsidR="00920AA9" w:rsidRPr="004F42A3" w:rsidRDefault="00920AA9" w:rsidP="007F308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All teaching staff</w:t>
            </w:r>
          </w:p>
        </w:tc>
        <w:tc>
          <w:tcPr>
            <w:tcW w:w="3686" w:type="dxa"/>
          </w:tcPr>
          <w:p w:rsidR="00920AA9" w:rsidRDefault="00920AA9" w:rsidP="007F3086">
            <w:pPr>
              <w:rPr>
                <w:sz w:val="24"/>
                <w:szCs w:val="24"/>
              </w:rPr>
            </w:pPr>
          </w:p>
          <w:p w:rsidR="00920AA9" w:rsidRDefault="00920AA9" w:rsidP="007F3086">
            <w:pPr>
              <w:rPr>
                <w:sz w:val="24"/>
                <w:szCs w:val="24"/>
              </w:rPr>
            </w:pPr>
          </w:p>
          <w:p w:rsidR="00920AA9" w:rsidRPr="004F42A3" w:rsidRDefault="00920AA9" w:rsidP="007F308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0AA9" w:rsidRPr="004F42A3" w:rsidRDefault="00920AA9" w:rsidP="007F3086">
            <w:pPr>
              <w:rPr>
                <w:sz w:val="24"/>
                <w:szCs w:val="24"/>
              </w:rPr>
            </w:pPr>
          </w:p>
        </w:tc>
      </w:tr>
      <w:tr w:rsidR="00920AA9" w:rsidRPr="004F42A3" w:rsidTr="007F3086">
        <w:tc>
          <w:tcPr>
            <w:tcW w:w="3828" w:type="dxa"/>
          </w:tcPr>
          <w:p w:rsidR="00920AA9" w:rsidRPr="004F42A3" w:rsidRDefault="00920AA9" w:rsidP="007F3086">
            <w:pPr>
              <w:rPr>
                <w:b/>
                <w:sz w:val="24"/>
                <w:szCs w:val="24"/>
              </w:rPr>
            </w:pPr>
            <w:r w:rsidRPr="004F42A3">
              <w:rPr>
                <w:b/>
                <w:sz w:val="24"/>
                <w:szCs w:val="24"/>
              </w:rPr>
              <w:lastRenderedPageBreak/>
              <w:t>5. Support school sport in the local cluster and throughout the city.</w:t>
            </w:r>
          </w:p>
          <w:p w:rsidR="00920AA9" w:rsidRPr="004F42A3" w:rsidRDefault="00920AA9" w:rsidP="007F3086">
            <w:pPr>
              <w:rPr>
                <w:b/>
                <w:sz w:val="24"/>
                <w:szCs w:val="24"/>
              </w:rPr>
            </w:pPr>
          </w:p>
          <w:p w:rsidR="00920AA9" w:rsidRPr="004F42A3" w:rsidRDefault="00920AA9" w:rsidP="007F3086">
            <w:pPr>
              <w:rPr>
                <w:sz w:val="24"/>
                <w:szCs w:val="24"/>
              </w:rPr>
            </w:pPr>
            <w:r w:rsidRPr="004F42A3">
              <w:rPr>
                <w:sz w:val="24"/>
                <w:szCs w:val="24"/>
              </w:rPr>
              <w:t xml:space="preserve">A percentage of the premium will be used to support the successful, on-going sport in our </w:t>
            </w:r>
            <w:proofErr w:type="spellStart"/>
            <w:r w:rsidRPr="004F42A3">
              <w:rPr>
                <w:sz w:val="24"/>
                <w:szCs w:val="24"/>
              </w:rPr>
              <w:t>Tingley</w:t>
            </w:r>
            <w:proofErr w:type="spellEnd"/>
            <w:r w:rsidRPr="004F42A3">
              <w:rPr>
                <w:sz w:val="24"/>
                <w:szCs w:val="24"/>
              </w:rPr>
              <w:t xml:space="preserve"> Cluster.  A P.E specialist from </w:t>
            </w:r>
            <w:proofErr w:type="spellStart"/>
            <w:r w:rsidRPr="004F42A3">
              <w:rPr>
                <w:sz w:val="24"/>
                <w:szCs w:val="24"/>
              </w:rPr>
              <w:t>Woodkirk</w:t>
            </w:r>
            <w:proofErr w:type="spellEnd"/>
            <w:r w:rsidRPr="004F42A3">
              <w:rPr>
                <w:sz w:val="24"/>
                <w:szCs w:val="24"/>
              </w:rPr>
              <w:t xml:space="preserve"> has been appointed to develop physical activity in all the cluster primary school.</w:t>
            </w:r>
          </w:p>
          <w:p w:rsidR="00920AA9" w:rsidRPr="004F42A3" w:rsidRDefault="00920AA9" w:rsidP="007F3086">
            <w:pPr>
              <w:rPr>
                <w:sz w:val="24"/>
                <w:szCs w:val="24"/>
              </w:rPr>
            </w:pPr>
          </w:p>
          <w:p w:rsidR="00920AA9" w:rsidRPr="004F42A3" w:rsidRDefault="00920AA9" w:rsidP="007F3086">
            <w:pPr>
              <w:rPr>
                <w:sz w:val="24"/>
                <w:szCs w:val="24"/>
              </w:rPr>
            </w:pPr>
            <w:r w:rsidRPr="004F42A3">
              <w:rPr>
                <w:sz w:val="24"/>
                <w:szCs w:val="24"/>
              </w:rPr>
              <w:t xml:space="preserve">We have also joined the ‘Leeds Sports Offer’ </w:t>
            </w:r>
            <w:r>
              <w:rPr>
                <w:sz w:val="24"/>
                <w:szCs w:val="24"/>
              </w:rPr>
              <w:t>and are now part of the Active S</w:t>
            </w:r>
            <w:r w:rsidRPr="004F42A3">
              <w:rPr>
                <w:sz w:val="24"/>
                <w:szCs w:val="24"/>
              </w:rPr>
              <w:t>chool</w:t>
            </w:r>
            <w:r>
              <w:rPr>
                <w:sz w:val="24"/>
                <w:szCs w:val="24"/>
              </w:rPr>
              <w:t>’</w:t>
            </w:r>
            <w:r w:rsidRPr="004F42A3">
              <w:rPr>
                <w:sz w:val="24"/>
                <w:szCs w:val="24"/>
              </w:rPr>
              <w:t>s programme.  By joining this scheme we will have great access to city wide competitions and staff development opportunities.</w:t>
            </w:r>
          </w:p>
          <w:p w:rsidR="00920AA9" w:rsidRPr="004F42A3" w:rsidRDefault="00920AA9" w:rsidP="007F308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0AA9" w:rsidRDefault="00920AA9" w:rsidP="007F308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All pupils</w:t>
            </w:r>
          </w:p>
          <w:p w:rsidR="00920AA9" w:rsidRDefault="00920AA9" w:rsidP="007F3086">
            <w:pPr>
              <w:rPr>
                <w:i/>
                <w:sz w:val="24"/>
                <w:szCs w:val="24"/>
              </w:rPr>
            </w:pPr>
          </w:p>
          <w:p w:rsidR="00920AA9" w:rsidRDefault="00920AA9" w:rsidP="007F308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Teaching staff</w:t>
            </w:r>
          </w:p>
          <w:p w:rsidR="00920AA9" w:rsidRPr="004F42A3" w:rsidRDefault="00920AA9" w:rsidP="007F3086">
            <w:pPr>
              <w:rPr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920AA9" w:rsidRPr="004F42A3" w:rsidRDefault="00920AA9" w:rsidP="007F308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0AA9" w:rsidRPr="004F42A3" w:rsidRDefault="00920AA9" w:rsidP="007F3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1780</w:t>
            </w:r>
          </w:p>
        </w:tc>
      </w:tr>
      <w:tr w:rsidR="00920AA9" w:rsidRPr="004F42A3" w:rsidTr="007F3086">
        <w:tc>
          <w:tcPr>
            <w:tcW w:w="9215" w:type="dxa"/>
            <w:gridSpan w:val="3"/>
          </w:tcPr>
          <w:p w:rsidR="00920AA9" w:rsidRDefault="00920AA9" w:rsidP="007F3086">
            <w:pPr>
              <w:rPr>
                <w:sz w:val="24"/>
                <w:szCs w:val="24"/>
              </w:rPr>
            </w:pPr>
          </w:p>
          <w:p w:rsidR="00920AA9" w:rsidRDefault="00920AA9" w:rsidP="007F3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Total for projected costs:</w:t>
            </w:r>
          </w:p>
          <w:p w:rsidR="00920AA9" w:rsidRDefault="00920AA9" w:rsidP="007F308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0AA9" w:rsidRDefault="00920AA9" w:rsidP="007F3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5319</w:t>
            </w:r>
          </w:p>
        </w:tc>
      </w:tr>
    </w:tbl>
    <w:p w:rsidR="00920AA9" w:rsidRPr="004F42A3" w:rsidRDefault="00920AA9" w:rsidP="00920AA9">
      <w:pPr>
        <w:rPr>
          <w:sz w:val="24"/>
          <w:szCs w:val="24"/>
        </w:rPr>
      </w:pPr>
    </w:p>
    <w:p w:rsidR="00920AA9" w:rsidRDefault="00920AA9" w:rsidP="00920AA9"/>
    <w:p w:rsidR="003756C3" w:rsidRDefault="003756C3"/>
    <w:sectPr w:rsidR="00375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A9"/>
    <w:rsid w:val="003756C3"/>
    <w:rsid w:val="0092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2015-04-12T13:56:00Z</dcterms:created>
  <dcterms:modified xsi:type="dcterms:W3CDTF">2015-04-12T14:02:00Z</dcterms:modified>
</cp:coreProperties>
</file>